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00" w:lineRule="exact"/>
        <w:rPr>
          <w:rFonts w:ascii="宋体" w:hAnsi="宋体"/>
          <w:bCs/>
          <w:iCs/>
          <w:color w:val="000000"/>
          <w:sz w:val="24"/>
        </w:rPr>
      </w:pPr>
      <w:r>
        <w:rPr>
          <w:rFonts w:hint="eastAsia" w:ascii="宋体" w:hAnsi="宋体"/>
          <w:bCs/>
          <w:iCs/>
          <w:color w:val="000000"/>
          <w:sz w:val="24"/>
        </w:rPr>
        <w:t>证券代码：300162                                  证券简称：雷曼光电</w:t>
      </w:r>
    </w:p>
    <w:p>
      <w:pPr>
        <w:spacing w:before="312" w:beforeLines="100" w:after="312" w:afterLines="100" w:line="4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深圳雷曼光电科技股份有限公司</w:t>
      </w:r>
    </w:p>
    <w:p>
      <w:pPr>
        <w:spacing w:before="312" w:beforeLines="100" w:after="312" w:afterLines="100" w:line="400" w:lineRule="exact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2019年6月5日投资者关系活动记录表</w:t>
      </w:r>
    </w:p>
    <w:p>
      <w:pPr>
        <w:spacing w:after="312" w:afterLines="100" w:line="400" w:lineRule="exact"/>
        <w:rPr>
          <w:rFonts w:ascii="宋体" w:hAnsi="宋体"/>
          <w:bCs/>
          <w:iCs/>
          <w:color w:val="000000"/>
          <w:sz w:val="24"/>
        </w:rPr>
      </w:pPr>
      <w:r>
        <w:rPr>
          <w:rFonts w:hint="eastAsia" w:ascii="宋体" w:hAnsi="宋体"/>
          <w:bCs/>
          <w:iCs/>
          <w:color w:val="000000"/>
          <w:sz w:val="24"/>
        </w:rPr>
        <w:t xml:space="preserve">                                                        编号：2019-002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6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投资者关系活动类别</w:t>
            </w:r>
          </w:p>
          <w:p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</w:p>
        </w:tc>
        <w:tc>
          <w:tcPr>
            <w:tcW w:w="6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 w:line="360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☑特定对象调研        □分析师会议</w:t>
            </w:r>
          </w:p>
          <w:p>
            <w:pPr>
              <w:spacing w:before="156" w:beforeLines="50" w:after="156" w:afterLines="50" w:line="360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□媒体采访            □业绩说明会</w:t>
            </w:r>
          </w:p>
          <w:p>
            <w:pPr>
              <w:spacing w:before="156" w:beforeLines="50" w:after="156" w:afterLines="50" w:line="360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□新闻发布会          □路演活动</w:t>
            </w:r>
          </w:p>
          <w:p>
            <w:pPr>
              <w:tabs>
                <w:tab w:val="left" w:pos="3045"/>
                <w:tab w:val="center" w:pos="3199"/>
              </w:tabs>
              <w:spacing w:before="156" w:beforeLines="50" w:after="156" w:afterLines="50" w:line="360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□现场参观</w:t>
            </w:r>
            <w:r>
              <w:rPr>
                <w:rFonts w:hint="eastAsia"/>
                <w:color w:val="000000"/>
                <w:sz w:val="24"/>
              </w:rPr>
              <w:tab/>
            </w:r>
          </w:p>
          <w:p>
            <w:pPr>
              <w:tabs>
                <w:tab w:val="center" w:pos="3199"/>
              </w:tabs>
              <w:spacing w:before="156" w:beforeLines="50" w:after="156" w:afterLines="50" w:line="360" w:lineRule="auto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□其他 （请文字说明其他活动内容）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参与单位名称及人员姓名</w:t>
            </w:r>
          </w:p>
        </w:tc>
        <w:tc>
          <w:tcPr>
            <w:tcW w:w="6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大成基金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张家旺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飞信资本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增广春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3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富国基金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陈杰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4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光大银行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梁博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光大证券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张文朗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光大证券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黄文静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7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光大证券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刘政宁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8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光大证券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郭永斌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9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海富通基金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项飞燕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华商基金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陈杰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华夏未来资本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魏冉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12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诺安基金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童宇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13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前海人寿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许曦文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14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前海人寿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程丽媛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15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人保资产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刘畅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新华基金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甄茂生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17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新时代证券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余亮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18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智诚海威资产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陈丹丹</w:t>
            </w:r>
          </w:p>
          <w:p>
            <w:pPr>
              <w:spacing w:before="156" w:beforeLines="50" w:after="156" w:afterLines="50"/>
              <w:ind w:left="360" w:hanging="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19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>中银基金</w:t>
            </w:r>
            <w:r>
              <w:rPr>
                <w:rFonts w:hint="eastAsia"/>
                <w:color w:val="000000"/>
                <w:sz w:val="24"/>
              </w:rPr>
              <w:tab/>
            </w:r>
            <w:r>
              <w:rPr>
                <w:rFonts w:hint="eastAsia"/>
                <w:color w:val="000000"/>
                <w:sz w:val="24"/>
              </w:rPr>
              <w:t xml:space="preserve">    吴洵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时间</w:t>
            </w:r>
          </w:p>
        </w:tc>
        <w:tc>
          <w:tcPr>
            <w:tcW w:w="6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2019年6月5日下午14:00-15:30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地点</w:t>
            </w:r>
          </w:p>
        </w:tc>
        <w:tc>
          <w:tcPr>
            <w:tcW w:w="6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深圳市南山区松白公路百旺信工业园二区八栋五楼会议室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上市公司接待人员姓名</w:t>
            </w:r>
          </w:p>
        </w:tc>
        <w:tc>
          <w:tcPr>
            <w:tcW w:w="6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李漫铁（董事长 总裁）、罗竝（副总裁 董事会秘书）</w:t>
            </w:r>
          </w:p>
          <w:p>
            <w:pPr>
              <w:spacing w:line="480" w:lineRule="atLeast"/>
              <w:jc w:val="lef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张琰（财务总监）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投资者关系活动主要内容介绍</w:t>
            </w:r>
          </w:p>
          <w:p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</w:p>
        </w:tc>
        <w:tc>
          <w:tcPr>
            <w:tcW w:w="6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tLeast"/>
              <w:ind w:firstLine="472" w:firstLineChars="196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本次投资者关系活动的主要内容如下：</w:t>
            </w:r>
          </w:p>
          <w:p>
            <w:pPr>
              <w:spacing w:line="480" w:lineRule="atLeast"/>
              <w:ind w:firstLine="472" w:firstLineChars="196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一、参观公司展厅， COB</w:t>
            </w: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  <w:lang w:eastAsia="zh-CN"/>
              </w:rPr>
              <w:t>显示</w:t>
            </w: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技术特点讲解，COB微间距</w:t>
            </w: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  <w:lang w:eastAsia="zh-CN"/>
              </w:rPr>
              <w:t>显示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市场前景，COB</w:t>
            </w: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  <w:lang w:eastAsia="zh-CN"/>
              </w:rPr>
              <w:t>显示</w:t>
            </w: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产品应用场景演示；</w:t>
            </w:r>
            <w:r>
              <w:rPr>
                <w:rFonts w:ascii="宋体" w:hAnsi="宋体"/>
                <w:b/>
                <w:bCs/>
                <w:iCs/>
                <w:color w:val="000000"/>
                <w:sz w:val="24"/>
              </w:rPr>
              <w:t xml:space="preserve"> </w:t>
            </w:r>
          </w:p>
          <w:p>
            <w:pPr>
              <w:spacing w:after="156" w:afterLines="50" w:line="480" w:lineRule="atLeast"/>
              <w:ind w:firstLine="472" w:firstLineChars="196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二、交流环节：</w:t>
            </w:r>
          </w:p>
          <w:p>
            <w:pPr>
              <w:spacing w:line="360" w:lineRule="auto"/>
              <w:ind w:firstLine="482" w:firstLineChars="200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问题1：</w:t>
            </w: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公司的出口业务情况如何？中美贸易战对公司是否有影响？</w:t>
            </w:r>
            <w:r>
              <w:rPr>
                <w:rFonts w:ascii="宋体" w:hAnsi="宋体"/>
                <w:b/>
                <w:bCs/>
                <w:iCs/>
                <w:color w:val="000000"/>
                <w:sz w:val="24"/>
              </w:rPr>
              <w:t xml:space="preserve"> 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李漫铁答：目前公司出口业务占总营收比例较大，主要出口地区包括美国、欧洲等</w:t>
            </w:r>
            <w:r>
              <w:rPr>
                <w:rFonts w:hint="eastAsia" w:ascii="宋体" w:hAnsi="宋体"/>
                <w:color w:val="000000"/>
                <w:sz w:val="24"/>
              </w:rPr>
              <w:t>，因而中美贸易摩擦对公司的出口业务有一定影响，但公司的供给端不受影响，因为公司对国外原材料依赖程度很低。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60" w:lineRule="auto"/>
              <w:ind w:firstLine="482" w:firstLineChars="200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问题2：公司采取什么措施应对中美贸易战？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李漫铁答：一方面公司已经派人到美国与客户谈判，争取与客户达成更有利于公司的成本分摊方案；另外，公司考虑转移部分生产业务到非关税影响的国家，对冲美国关税影响，并降低人力成本；同时，</w:t>
            </w:r>
            <w:r>
              <w:rPr>
                <w:rFonts w:hint="eastAsia" w:ascii="宋体" w:hAnsi="宋体"/>
                <w:color w:val="000000"/>
                <w:sz w:val="24"/>
              </w:rPr>
              <w:t>公司致力于通过提升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产品技术含量与</w:t>
            </w:r>
            <w:r>
              <w:rPr>
                <w:rFonts w:hint="eastAsia" w:ascii="宋体" w:hAnsi="宋体"/>
                <w:color w:val="000000"/>
                <w:sz w:val="24"/>
              </w:rPr>
              <w:t>差异化竞争力，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及时</w:t>
            </w:r>
            <w:r>
              <w:rPr>
                <w:rFonts w:hint="eastAsia" w:ascii="宋体" w:hAnsi="宋体"/>
                <w:color w:val="000000"/>
                <w:sz w:val="24"/>
              </w:rPr>
              <w:t>调整销售策略，借助高技术的COB创新微间距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显示</w:t>
            </w:r>
            <w:r>
              <w:rPr>
                <w:rFonts w:hint="eastAsia" w:ascii="宋体" w:hAnsi="宋体"/>
                <w:color w:val="000000"/>
                <w:sz w:val="24"/>
              </w:rPr>
              <w:t>产品打开国内市场。目前公司COB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显示</w:t>
            </w:r>
            <w:r>
              <w:rPr>
                <w:rFonts w:hint="eastAsia" w:ascii="宋体" w:hAnsi="宋体"/>
                <w:color w:val="000000"/>
                <w:sz w:val="24"/>
              </w:rPr>
              <w:t>业务受欢迎度持续上升，预计未来COB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显示</w:t>
            </w:r>
            <w:r>
              <w:rPr>
                <w:rFonts w:hint="eastAsia" w:ascii="宋体" w:hAnsi="宋体"/>
                <w:color w:val="000000"/>
                <w:sz w:val="24"/>
              </w:rPr>
              <w:t>收入增幅会加大，国内业务占比会持续提升。照明方面，未来拓享科技在巩固出口业务的基础上，将注重国内市场开发，目前拓享在国内轨道交通照明市场已取得突破性进展。同时公司将持续关注并投资国内具有产业协同效应的领域，提升公司的业务规模及应对外围宏观及市场风险的能力。</w:t>
            </w:r>
          </w:p>
          <w:p>
            <w:pPr>
              <w:spacing w:line="360" w:lineRule="auto"/>
              <w:rPr>
                <w:rFonts w:ascii="宋体" w:hAnsi="宋体"/>
                <w:b/>
                <w:color w:val="000000"/>
                <w:sz w:val="24"/>
              </w:rPr>
            </w:pPr>
          </w:p>
          <w:p>
            <w:pPr>
              <w:spacing w:line="360" w:lineRule="auto"/>
              <w:ind w:firstLine="482" w:firstLineChars="200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问题3：目前公司有多少员工？公司会因中美贸易战裁员吗？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李漫铁</w:t>
            </w:r>
            <w:r>
              <w:rPr>
                <w:rFonts w:hint="eastAsia" w:ascii="宋体" w:hAnsi="宋体"/>
                <w:color w:val="000000"/>
                <w:sz w:val="24"/>
              </w:rPr>
              <w:t>答：公司及子公司目前员工总人数约1500人，由于公司业务规模在扩大，发展速度在提升，因此公司暂时不会裁员，而且随着业务的发展预计还需继续增加生产销售等人员。</w:t>
            </w:r>
          </w:p>
          <w:p>
            <w:pPr>
              <w:spacing w:line="360" w:lineRule="auto"/>
              <w:rPr>
                <w:rFonts w:ascii="宋体" w:hAnsi="宋体"/>
                <w:bCs/>
                <w:iCs/>
                <w:color w:val="000000"/>
                <w:sz w:val="24"/>
              </w:rPr>
            </w:pPr>
          </w:p>
          <w:p>
            <w:pPr>
              <w:spacing w:line="360" w:lineRule="auto"/>
              <w:ind w:firstLine="482" w:firstLineChars="200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问题4：目前公司有多少项专利？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李漫铁</w:t>
            </w:r>
            <w:r>
              <w:rPr>
                <w:rFonts w:hint="eastAsia" w:ascii="宋体" w:hAnsi="宋体"/>
                <w:color w:val="000000"/>
                <w:sz w:val="24"/>
              </w:rPr>
              <w:t>答：公司一直坚持自主创新的技术发展战略，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目前</w:t>
            </w:r>
            <w:r>
              <w:rPr>
                <w:rFonts w:hint="eastAsia" w:ascii="宋体" w:hAnsi="宋体"/>
                <w:color w:val="000000"/>
                <w:sz w:val="24"/>
              </w:rPr>
              <w:t>，公司及控股子公司共有已获授权和已获受理的专利300多项，其中与COB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显示</w:t>
            </w:r>
            <w:r>
              <w:rPr>
                <w:rFonts w:hint="eastAsia" w:ascii="宋体" w:hAnsi="宋体"/>
                <w:color w:val="000000"/>
                <w:sz w:val="24"/>
              </w:rPr>
              <w:t>相关的专利有数十项，相关专利进一步提高了公司的LED产品工艺和公司综合竞争力，为公司LED主业的快速发展提供了有力的技术支撑。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60" w:lineRule="auto"/>
              <w:ind w:firstLine="482" w:firstLineChars="200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问题5：公司2018年照明业务增长的原因是？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</w:t>
            </w:r>
          </w:p>
          <w:p>
            <w:pPr>
              <w:spacing w:line="360" w:lineRule="auto"/>
              <w:ind w:firstLine="480" w:firstLineChars="200"/>
              <w:outlineLvl w:val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sz w:val="24"/>
              </w:rPr>
              <w:t>李漫铁答：公司</w:t>
            </w:r>
            <w:r>
              <w:rPr>
                <w:rFonts w:hint="eastAsia" w:asciiTheme="minorEastAsia" w:hAnsiTheme="minorEastAsia" w:eastAsiaTheme="minorEastAsia"/>
                <w:sz w:val="24"/>
              </w:rPr>
              <w:t>2018年度照明业务收入同比增长了接近50%，2018年照明业务大幅提升的原因主要是公司积极调整市场策略，持续加强海外市场的巩固与拓展，深耕北美市场业务，经过长期发展积累，效益逐步释放，业绩增长显著。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60" w:lineRule="auto"/>
              <w:ind w:firstLine="482" w:firstLineChars="200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问题6：雷曼自主研发的COB</w:t>
            </w:r>
            <w:r>
              <w:rPr>
                <w:rFonts w:hint="eastAsia" w:ascii="宋体" w:hAnsi="宋体"/>
                <w:b/>
                <w:color w:val="000000"/>
                <w:sz w:val="24"/>
                <w:lang w:eastAsia="zh-CN"/>
              </w:rPr>
              <w:t>显示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产品较同行业类似产品有什么优势？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cs="宋体"/>
                <w:bCs/>
                <w:i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李漫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</w:rPr>
              <w:t>铁答：目前国内有一两家非上市公司也在生产COB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  <w:lang w:eastAsia="zh-CN"/>
              </w:rPr>
              <w:t>显示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</w:rPr>
              <w:t>产品，但产品的技术与特点跟公司的不一样。国际上三星、索尼的Micro LED产品与公司的COB微间距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  <w:lang w:eastAsia="zh-CN"/>
              </w:rPr>
              <w:t>显示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</w:rPr>
              <w:t>产品是同样技术路线的产品，但公司的COB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  <w:lang w:eastAsia="zh-CN"/>
              </w:rPr>
              <w:t>显示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</w:rPr>
              <w:t>产品在去年便率先量产，并且具有更佳的性价比解决方案。公司作为老牌LED上市公司，具有十五年LED封装研发及制造经验；十四年LED显示屏研发及制造经验；五年以上COB小间距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  <w:lang w:eastAsia="zh-CN"/>
              </w:rPr>
              <w:t>显示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</w:rPr>
              <w:t>研发经验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</w:rPr>
              <w:t>COB显示技术具有较高的技术门槛，深度融合了封装技术和显示技术，故纯LED封装企业和纯LED显示屏企业想做COB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  <w:lang w:eastAsia="zh-CN"/>
              </w:rPr>
              <w:t>显示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</w:rPr>
              <w:t>产品技术难度会很大，而且目前SMD仍是市场主流，转型COB也会影响传统技术企业的利益。所以，雷曼作为拥有完整封装和显示综合产业链企业推出COB新技术具备天生优势，能够脱颖而出。无论是从时间上还是技术上，公司的研发与生产都具有领先于同行业。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cs="宋体"/>
                <w:bCs/>
                <w:i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</w:rPr>
              <w:t>另外公司作为上市公司，资产负债率较低，资金状况良好，后续将持续扩大COB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  <w:lang w:eastAsia="zh-CN"/>
              </w:rPr>
              <w:t>显示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</w:rPr>
              <w:t>产能，缓解LED小间距显示市场对COB新一代产品的需求瓶颈，提升新一代COB微间距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  <w:lang w:eastAsia="zh-CN"/>
              </w:rPr>
              <w:t>显示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0"/>
                <w:sz w:val="24"/>
              </w:rPr>
              <w:t>产品的市场占有率，并通过不断的技术创新，为客户提供性价比更高的COB高清显示产品。</w:t>
            </w:r>
          </w:p>
          <w:p>
            <w:pPr>
              <w:spacing w:line="360" w:lineRule="auto"/>
              <w:rPr>
                <w:rFonts w:ascii="宋体" w:hAnsi="宋体"/>
                <w:bCs/>
                <w:iCs/>
                <w:color w:val="000000"/>
                <w:sz w:val="24"/>
              </w:rPr>
            </w:pPr>
          </w:p>
          <w:p>
            <w:pPr>
              <w:spacing w:line="360" w:lineRule="auto"/>
              <w:ind w:firstLine="482" w:firstLineChars="200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问题7：公司COB微间距显示产品的主要应用在哪些领域？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李漫铁答：</w:t>
            </w:r>
            <w:r>
              <w:rPr>
                <w:rFonts w:hint="eastAsia" w:ascii="宋体" w:hAnsi="宋体"/>
                <w:color w:val="000000"/>
                <w:sz w:val="24"/>
              </w:rPr>
              <w:t>COB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显示</w:t>
            </w:r>
            <w:r>
              <w:rPr>
                <w:rFonts w:hint="eastAsia" w:ascii="宋体" w:hAnsi="宋体"/>
                <w:color w:val="000000"/>
                <w:sz w:val="24"/>
              </w:rPr>
              <w:t>技术的LED显示面板具有更高的防护性能，更高的可靠性，更高的对比度，更加出色的画质，更加灵活快捷的拼接方式以及更高的坏境适应性的优点，是100吋以上大尺寸高清显示的专业选择，是目前P2mm至P0.5mmLED小间距的最佳技术和商业方案，公司基于COB技术的Micro LED微显示，是目前能够实现100英寸以上的超大屏幕技术中，已经具备实现8K超高清显示特性的唯一技术。目前市场上雷曼已推出量产的,基于COB技术的Micro LED微显示P0.9面板，可以实现8K的显示分辨率7680×4320，屏幕尺寸做到了330英寸。8K超大屏幕拥有非常宽广的应用，可以用于政府、军队、交通、电力等部门的指挥监控应用，包括指挥中心、调度中心、控制中心、监控中心等。在广电传媒领域，可以应用于视频演播等。在视频会议系统领域，可以用于企业、政府、军队等部门的会议室、报告厅。在商业显示领域，可以应用于零售、酒店、商务会议等商用显示、智能终端一体机等。在家用显示领域，可以为家庭提供100英寸以上超高清电视。</w:t>
            </w:r>
          </w:p>
          <w:p>
            <w:pPr>
              <w:spacing w:line="360" w:lineRule="auto"/>
              <w:ind w:firstLine="482" w:firstLineChars="200"/>
              <w:rPr>
                <w:rFonts w:ascii="宋体" w:hAnsi="宋体"/>
                <w:b/>
                <w:color w:val="000000"/>
                <w:sz w:val="24"/>
              </w:rPr>
            </w:pPr>
          </w:p>
          <w:p>
            <w:pPr>
              <w:spacing w:line="360" w:lineRule="auto"/>
              <w:ind w:firstLine="482" w:firstLineChars="200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问题8：公司转做国内业务是否有核心渠道？</w:t>
            </w:r>
          </w:p>
          <w:p>
            <w:pPr>
              <w:spacing w:before="156" w:beforeLines="50" w:after="156" w:afterLines="50" w:line="360" w:lineRule="auto"/>
              <w:ind w:firstLine="480" w:firstLineChars="2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李漫铁答：公司的显示业务在国内根基确实较浅，打开国内市场主要还是靠产品实力，公司的COB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显示</w:t>
            </w:r>
            <w:r>
              <w:rPr>
                <w:rFonts w:hint="eastAsia" w:ascii="宋体" w:hAnsi="宋体"/>
                <w:color w:val="000000"/>
                <w:sz w:val="24"/>
              </w:rPr>
              <w:t>产品可靠性高、性能具有独特优势，公司组建的COB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显示</w:t>
            </w:r>
            <w:r>
              <w:rPr>
                <w:rFonts w:hint="eastAsia" w:ascii="宋体" w:hAnsi="宋体"/>
                <w:color w:val="000000"/>
                <w:sz w:val="24"/>
              </w:rPr>
              <w:t>团队都在全国各地及各应用领域进行市场开拓，公司的COB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显示</w:t>
            </w:r>
            <w:r>
              <w:rPr>
                <w:rFonts w:hint="eastAsia" w:ascii="宋体" w:hAnsi="宋体"/>
                <w:color w:val="000000"/>
                <w:sz w:val="24"/>
              </w:rPr>
              <w:t>产品在专业显示领域主要面向的政府采购项目，随着智慧城市、平安城市等的提出及不断发展，政府采购对于信息可视化的需求越来越高，且价格敏感性较低。公司已在交通指挥、公安、教育等领域完成了一些经典案例，合作意向的客户较多。此外，公司也在持续挖掘具备渠道资源的合作伙伴，在产品价格上可给予合作伙伴较大的商业价值，以达到合作共赢，共同开拓市场。</w:t>
            </w:r>
          </w:p>
          <w:p>
            <w:pPr>
              <w:spacing w:before="156" w:beforeLines="50" w:after="156" w:afterLines="50" w:line="360" w:lineRule="auto"/>
              <w:ind w:firstLine="480" w:firstLineChars="200"/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widowControl/>
              <w:spacing w:line="360" w:lineRule="auto"/>
              <w:ind w:firstLine="482"/>
              <w:jc w:val="left"/>
              <w:rPr>
                <w:rFonts w:ascii="Calibri" w:hAnsi="宋体" w:cs="Calibri"/>
                <w:b/>
                <w:kern w:val="0"/>
                <w:sz w:val="24"/>
                <w:szCs w:val="20"/>
              </w:rPr>
            </w:pPr>
            <w:r>
              <w:rPr>
                <w:rFonts w:hint="eastAsia" w:ascii="Calibri" w:hAnsi="宋体" w:cs="Calibri"/>
                <w:b/>
                <w:kern w:val="0"/>
                <w:sz w:val="24"/>
                <w:szCs w:val="20"/>
              </w:rPr>
              <w:t>问题9：请问公司未来的发力点是显示领域吗？</w:t>
            </w:r>
          </w:p>
          <w:p>
            <w:pPr>
              <w:widowControl/>
              <w:spacing w:line="360" w:lineRule="auto"/>
              <w:ind w:firstLine="482"/>
              <w:jc w:val="left"/>
              <w:rPr>
                <w:rFonts w:ascii="Calibri" w:hAnsi="宋体" w:cs="Calibri"/>
                <w:kern w:val="0"/>
                <w:sz w:val="24"/>
                <w:szCs w:val="20"/>
              </w:rPr>
            </w:pPr>
            <w:r>
              <w:rPr>
                <w:rFonts w:hint="eastAsia" w:ascii="Calibri" w:hAnsi="宋体" w:cs="Calibri"/>
                <w:kern w:val="0"/>
                <w:sz w:val="24"/>
                <w:szCs w:val="20"/>
              </w:rPr>
              <w:t>李漫铁答：LED小间距的专业显示和商业显示市场发展空间广阔，是蓝海市场。公司自主研发的COB微间距显示屏由于具有高可靠性和防护性、模块化无缝拼接、像素分辨率快速提升、规模价格开始贴近市场、满足LCD所不及的超大尺寸等优势，将成为4K、8K超高清显示终端在会议显示、指挥监控调度显示、家庭娱乐显示、广播电视显示等场景的高端解决方案，契合国家超高清显示政策的发展要求。未来公司将凭借良好的企业品牌，综合的产业链及领先的技术研发和创新优势，继续立足LED主业积极布局，深耕COB封装显示技术，专注于100吋以上的高性价比新型智能显示终端解决方案，持续加大国内外的市场开拓，将其作为公司的战略重点和业绩发力点。</w:t>
            </w:r>
          </w:p>
          <w:p>
            <w:pPr>
              <w:widowControl/>
              <w:spacing w:line="360" w:lineRule="auto"/>
              <w:jc w:val="left"/>
              <w:rPr>
                <w:rFonts w:ascii="Calibri" w:hAnsi="宋体" w:cs="Calibri"/>
                <w:kern w:val="0"/>
                <w:sz w:val="24"/>
                <w:szCs w:val="20"/>
              </w:rPr>
            </w:pPr>
          </w:p>
          <w:p>
            <w:pPr>
              <w:spacing w:line="480" w:lineRule="atLeast"/>
              <w:ind w:firstLine="480" w:firstLineChars="200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接待过程中，公司接待人员与投资者进行了充分的交流与沟通，严格按照有关制度规定，没有出现未公开重大信息泄露等情况，同时已按深交所要求签署调研《承诺书》。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附件清单（如有）</w:t>
            </w:r>
          </w:p>
        </w:tc>
        <w:tc>
          <w:tcPr>
            <w:tcW w:w="6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日期</w:t>
            </w:r>
          </w:p>
        </w:tc>
        <w:tc>
          <w:tcPr>
            <w:tcW w:w="6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201</w:t>
            </w:r>
            <w:r>
              <w:rPr>
                <w:rFonts w:ascii="宋体" w:hAnsi="宋体"/>
                <w:bCs/>
                <w:iCs/>
                <w:color w:val="000000"/>
                <w:sz w:val="24"/>
              </w:rPr>
              <w:t>9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年6月5日</w:t>
            </w:r>
          </w:p>
        </w:tc>
      </w:tr>
    </w:tbl>
    <w:p>
      <w:pPr>
        <w:spacing w:before="156" w:beforeLines="50" w:after="156" w:afterLines="50" w:line="360" w:lineRule="auto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（以下无正文）</w:t>
      </w:r>
    </w:p>
    <w:p/>
    <w:p>
      <w:pPr>
        <w:widowControl/>
        <w:jc w:val="left"/>
      </w:pPr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0EA"/>
    <w:rsid w:val="00001382"/>
    <w:rsid w:val="000032F6"/>
    <w:rsid w:val="00005760"/>
    <w:rsid w:val="00007167"/>
    <w:rsid w:val="0001635F"/>
    <w:rsid w:val="00021D21"/>
    <w:rsid w:val="00023DD5"/>
    <w:rsid w:val="000261CD"/>
    <w:rsid w:val="0003390B"/>
    <w:rsid w:val="00036947"/>
    <w:rsid w:val="000378A4"/>
    <w:rsid w:val="000414D5"/>
    <w:rsid w:val="00042115"/>
    <w:rsid w:val="0004363C"/>
    <w:rsid w:val="000455EA"/>
    <w:rsid w:val="000516B9"/>
    <w:rsid w:val="00060418"/>
    <w:rsid w:val="00061F9A"/>
    <w:rsid w:val="0006274C"/>
    <w:rsid w:val="000708B9"/>
    <w:rsid w:val="0007153F"/>
    <w:rsid w:val="000736AE"/>
    <w:rsid w:val="00073802"/>
    <w:rsid w:val="000777D4"/>
    <w:rsid w:val="00080DF2"/>
    <w:rsid w:val="000820CD"/>
    <w:rsid w:val="000840DB"/>
    <w:rsid w:val="00084353"/>
    <w:rsid w:val="00085717"/>
    <w:rsid w:val="000906D9"/>
    <w:rsid w:val="000925D5"/>
    <w:rsid w:val="00095E10"/>
    <w:rsid w:val="00096759"/>
    <w:rsid w:val="000A063E"/>
    <w:rsid w:val="000A07F1"/>
    <w:rsid w:val="000A2FDB"/>
    <w:rsid w:val="000C25A4"/>
    <w:rsid w:val="000C571D"/>
    <w:rsid w:val="000C6619"/>
    <w:rsid w:val="000D23A7"/>
    <w:rsid w:val="000D39A0"/>
    <w:rsid w:val="000D7A82"/>
    <w:rsid w:val="000F23BF"/>
    <w:rsid w:val="000F6EBA"/>
    <w:rsid w:val="00103E1C"/>
    <w:rsid w:val="0011112E"/>
    <w:rsid w:val="001125FE"/>
    <w:rsid w:val="00113551"/>
    <w:rsid w:val="0011799D"/>
    <w:rsid w:val="00130504"/>
    <w:rsid w:val="0013609E"/>
    <w:rsid w:val="00137F51"/>
    <w:rsid w:val="00156C4B"/>
    <w:rsid w:val="0015757B"/>
    <w:rsid w:val="00164546"/>
    <w:rsid w:val="001666F6"/>
    <w:rsid w:val="001700C1"/>
    <w:rsid w:val="00174C76"/>
    <w:rsid w:val="00177AE2"/>
    <w:rsid w:val="00187FF0"/>
    <w:rsid w:val="001943D1"/>
    <w:rsid w:val="00194C1E"/>
    <w:rsid w:val="001A1514"/>
    <w:rsid w:val="001A3939"/>
    <w:rsid w:val="001A724F"/>
    <w:rsid w:val="001B1074"/>
    <w:rsid w:val="001B154C"/>
    <w:rsid w:val="001D122A"/>
    <w:rsid w:val="001D7E47"/>
    <w:rsid w:val="001E2566"/>
    <w:rsid w:val="001E2C10"/>
    <w:rsid w:val="001F3A52"/>
    <w:rsid w:val="001F536B"/>
    <w:rsid w:val="001F7257"/>
    <w:rsid w:val="00201465"/>
    <w:rsid w:val="00220EBB"/>
    <w:rsid w:val="00220F5A"/>
    <w:rsid w:val="002219F3"/>
    <w:rsid w:val="00223828"/>
    <w:rsid w:val="002262F9"/>
    <w:rsid w:val="00227C85"/>
    <w:rsid w:val="00237597"/>
    <w:rsid w:val="0024007C"/>
    <w:rsid w:val="0024063F"/>
    <w:rsid w:val="00247FE2"/>
    <w:rsid w:val="00252485"/>
    <w:rsid w:val="0026223D"/>
    <w:rsid w:val="00270561"/>
    <w:rsid w:val="00283762"/>
    <w:rsid w:val="0028387B"/>
    <w:rsid w:val="002A2A33"/>
    <w:rsid w:val="002D7BBA"/>
    <w:rsid w:val="002E072D"/>
    <w:rsid w:val="002F4AEE"/>
    <w:rsid w:val="0030165D"/>
    <w:rsid w:val="00305904"/>
    <w:rsid w:val="0030778F"/>
    <w:rsid w:val="00322333"/>
    <w:rsid w:val="00331116"/>
    <w:rsid w:val="00335666"/>
    <w:rsid w:val="00342333"/>
    <w:rsid w:val="00352169"/>
    <w:rsid w:val="00352AB2"/>
    <w:rsid w:val="00352BA5"/>
    <w:rsid w:val="00355DA6"/>
    <w:rsid w:val="00361D4B"/>
    <w:rsid w:val="00366550"/>
    <w:rsid w:val="00370D67"/>
    <w:rsid w:val="00370DC2"/>
    <w:rsid w:val="0037657C"/>
    <w:rsid w:val="00381377"/>
    <w:rsid w:val="00382D11"/>
    <w:rsid w:val="003868C7"/>
    <w:rsid w:val="003A0E7B"/>
    <w:rsid w:val="003A4ABB"/>
    <w:rsid w:val="003B0693"/>
    <w:rsid w:val="003B11F0"/>
    <w:rsid w:val="003C2D14"/>
    <w:rsid w:val="003D2196"/>
    <w:rsid w:val="003D4574"/>
    <w:rsid w:val="003D6837"/>
    <w:rsid w:val="003E2FA9"/>
    <w:rsid w:val="003E42D7"/>
    <w:rsid w:val="003E79F0"/>
    <w:rsid w:val="003F5E8F"/>
    <w:rsid w:val="00402E88"/>
    <w:rsid w:val="00407D1B"/>
    <w:rsid w:val="00413B49"/>
    <w:rsid w:val="00416E4F"/>
    <w:rsid w:val="00420C04"/>
    <w:rsid w:val="00423830"/>
    <w:rsid w:val="00425B77"/>
    <w:rsid w:val="0043012F"/>
    <w:rsid w:val="00433F9D"/>
    <w:rsid w:val="004350CF"/>
    <w:rsid w:val="0044162A"/>
    <w:rsid w:val="00442C79"/>
    <w:rsid w:val="00452672"/>
    <w:rsid w:val="004543C7"/>
    <w:rsid w:val="004606D3"/>
    <w:rsid w:val="00462E1C"/>
    <w:rsid w:val="0047570C"/>
    <w:rsid w:val="00485CB4"/>
    <w:rsid w:val="00487716"/>
    <w:rsid w:val="00487F17"/>
    <w:rsid w:val="0049260B"/>
    <w:rsid w:val="00492963"/>
    <w:rsid w:val="00495ADD"/>
    <w:rsid w:val="004A0A59"/>
    <w:rsid w:val="004B095A"/>
    <w:rsid w:val="004B1B3A"/>
    <w:rsid w:val="004B2D58"/>
    <w:rsid w:val="004B6BD3"/>
    <w:rsid w:val="004C07FD"/>
    <w:rsid w:val="004C1E0B"/>
    <w:rsid w:val="004C3147"/>
    <w:rsid w:val="004D5271"/>
    <w:rsid w:val="004D570B"/>
    <w:rsid w:val="004F686C"/>
    <w:rsid w:val="00500A91"/>
    <w:rsid w:val="00501339"/>
    <w:rsid w:val="0050616F"/>
    <w:rsid w:val="00512225"/>
    <w:rsid w:val="00512769"/>
    <w:rsid w:val="0051316E"/>
    <w:rsid w:val="00521648"/>
    <w:rsid w:val="005242D3"/>
    <w:rsid w:val="00526E98"/>
    <w:rsid w:val="0053182C"/>
    <w:rsid w:val="00531852"/>
    <w:rsid w:val="005325CC"/>
    <w:rsid w:val="00542438"/>
    <w:rsid w:val="00546788"/>
    <w:rsid w:val="005553EA"/>
    <w:rsid w:val="00562B33"/>
    <w:rsid w:val="0057533A"/>
    <w:rsid w:val="0059685A"/>
    <w:rsid w:val="005A3EDE"/>
    <w:rsid w:val="005B0760"/>
    <w:rsid w:val="005B5B0A"/>
    <w:rsid w:val="005C2DB5"/>
    <w:rsid w:val="005C3C8B"/>
    <w:rsid w:val="005C530B"/>
    <w:rsid w:val="005D0378"/>
    <w:rsid w:val="005D3FA3"/>
    <w:rsid w:val="005D6456"/>
    <w:rsid w:val="005E2AAC"/>
    <w:rsid w:val="005F241D"/>
    <w:rsid w:val="005F50EA"/>
    <w:rsid w:val="0060207A"/>
    <w:rsid w:val="0060244F"/>
    <w:rsid w:val="006151A5"/>
    <w:rsid w:val="0062722A"/>
    <w:rsid w:val="006338AA"/>
    <w:rsid w:val="0063473A"/>
    <w:rsid w:val="006462C3"/>
    <w:rsid w:val="0064717F"/>
    <w:rsid w:val="006476C4"/>
    <w:rsid w:val="006540E1"/>
    <w:rsid w:val="00661F41"/>
    <w:rsid w:val="00666752"/>
    <w:rsid w:val="006737B3"/>
    <w:rsid w:val="00677D0F"/>
    <w:rsid w:val="0068032C"/>
    <w:rsid w:val="00690CA4"/>
    <w:rsid w:val="006979F8"/>
    <w:rsid w:val="00697A32"/>
    <w:rsid w:val="006A026C"/>
    <w:rsid w:val="006A66A2"/>
    <w:rsid w:val="006A778F"/>
    <w:rsid w:val="006D0800"/>
    <w:rsid w:val="006D168B"/>
    <w:rsid w:val="006D1E54"/>
    <w:rsid w:val="006D3728"/>
    <w:rsid w:val="006D4C70"/>
    <w:rsid w:val="006E1A6B"/>
    <w:rsid w:val="006E24EC"/>
    <w:rsid w:val="006E264D"/>
    <w:rsid w:val="006E2A95"/>
    <w:rsid w:val="006F3045"/>
    <w:rsid w:val="006F7102"/>
    <w:rsid w:val="007010C6"/>
    <w:rsid w:val="007011C3"/>
    <w:rsid w:val="007038E4"/>
    <w:rsid w:val="00722508"/>
    <w:rsid w:val="00726238"/>
    <w:rsid w:val="00733EF8"/>
    <w:rsid w:val="00741F7A"/>
    <w:rsid w:val="0074528D"/>
    <w:rsid w:val="0074562B"/>
    <w:rsid w:val="00762139"/>
    <w:rsid w:val="00763AE4"/>
    <w:rsid w:val="007776DB"/>
    <w:rsid w:val="00781EC5"/>
    <w:rsid w:val="00792196"/>
    <w:rsid w:val="00795883"/>
    <w:rsid w:val="007A0E16"/>
    <w:rsid w:val="007A1EB2"/>
    <w:rsid w:val="007A2239"/>
    <w:rsid w:val="007B19CC"/>
    <w:rsid w:val="007B502F"/>
    <w:rsid w:val="007C006C"/>
    <w:rsid w:val="007C2D63"/>
    <w:rsid w:val="007D319A"/>
    <w:rsid w:val="007E3501"/>
    <w:rsid w:val="007F62E8"/>
    <w:rsid w:val="00804214"/>
    <w:rsid w:val="0080450B"/>
    <w:rsid w:val="00817C0C"/>
    <w:rsid w:val="00822596"/>
    <w:rsid w:val="00823061"/>
    <w:rsid w:val="00825242"/>
    <w:rsid w:val="00834884"/>
    <w:rsid w:val="00837487"/>
    <w:rsid w:val="0084371B"/>
    <w:rsid w:val="00844D06"/>
    <w:rsid w:val="008474D9"/>
    <w:rsid w:val="00853DF7"/>
    <w:rsid w:val="008557C4"/>
    <w:rsid w:val="00857891"/>
    <w:rsid w:val="00865D99"/>
    <w:rsid w:val="00873A3D"/>
    <w:rsid w:val="00880E9C"/>
    <w:rsid w:val="00881BBA"/>
    <w:rsid w:val="008832A0"/>
    <w:rsid w:val="00884F7D"/>
    <w:rsid w:val="00890ED0"/>
    <w:rsid w:val="008A0BDA"/>
    <w:rsid w:val="008C4B4A"/>
    <w:rsid w:val="008D2039"/>
    <w:rsid w:val="008D488A"/>
    <w:rsid w:val="008D5183"/>
    <w:rsid w:val="008D6DAB"/>
    <w:rsid w:val="008E7DFF"/>
    <w:rsid w:val="008F53C2"/>
    <w:rsid w:val="008F74DB"/>
    <w:rsid w:val="00915106"/>
    <w:rsid w:val="00932FE4"/>
    <w:rsid w:val="00933F41"/>
    <w:rsid w:val="00945E2D"/>
    <w:rsid w:val="00961223"/>
    <w:rsid w:val="00961680"/>
    <w:rsid w:val="00964175"/>
    <w:rsid w:val="0097175A"/>
    <w:rsid w:val="00976119"/>
    <w:rsid w:val="009805D3"/>
    <w:rsid w:val="00981B93"/>
    <w:rsid w:val="00996E78"/>
    <w:rsid w:val="009A3289"/>
    <w:rsid w:val="009A510F"/>
    <w:rsid w:val="009A775A"/>
    <w:rsid w:val="009B0673"/>
    <w:rsid w:val="009C0960"/>
    <w:rsid w:val="009C49A7"/>
    <w:rsid w:val="009D3757"/>
    <w:rsid w:val="009D6657"/>
    <w:rsid w:val="009D7EBC"/>
    <w:rsid w:val="009E44E4"/>
    <w:rsid w:val="00A0112D"/>
    <w:rsid w:val="00A05F65"/>
    <w:rsid w:val="00A06964"/>
    <w:rsid w:val="00A11A15"/>
    <w:rsid w:val="00A11A6E"/>
    <w:rsid w:val="00A1613E"/>
    <w:rsid w:val="00A233E9"/>
    <w:rsid w:val="00A35B12"/>
    <w:rsid w:val="00A40325"/>
    <w:rsid w:val="00A4162D"/>
    <w:rsid w:val="00A43059"/>
    <w:rsid w:val="00A51681"/>
    <w:rsid w:val="00A57570"/>
    <w:rsid w:val="00A6433E"/>
    <w:rsid w:val="00A731C5"/>
    <w:rsid w:val="00A734AE"/>
    <w:rsid w:val="00A74DF7"/>
    <w:rsid w:val="00A75035"/>
    <w:rsid w:val="00A7723C"/>
    <w:rsid w:val="00A82E49"/>
    <w:rsid w:val="00A84B8B"/>
    <w:rsid w:val="00A861DF"/>
    <w:rsid w:val="00A87E8A"/>
    <w:rsid w:val="00A965AF"/>
    <w:rsid w:val="00AA0AC4"/>
    <w:rsid w:val="00AA2BF4"/>
    <w:rsid w:val="00AA4236"/>
    <w:rsid w:val="00AB0B35"/>
    <w:rsid w:val="00AB206F"/>
    <w:rsid w:val="00AB29FA"/>
    <w:rsid w:val="00AB406C"/>
    <w:rsid w:val="00AB5E80"/>
    <w:rsid w:val="00AB601F"/>
    <w:rsid w:val="00AB760D"/>
    <w:rsid w:val="00AC0CB2"/>
    <w:rsid w:val="00AC3581"/>
    <w:rsid w:val="00AC7286"/>
    <w:rsid w:val="00AE3238"/>
    <w:rsid w:val="00AE7DA6"/>
    <w:rsid w:val="00B04A15"/>
    <w:rsid w:val="00B13709"/>
    <w:rsid w:val="00B20118"/>
    <w:rsid w:val="00B22B55"/>
    <w:rsid w:val="00B30168"/>
    <w:rsid w:val="00B30D89"/>
    <w:rsid w:val="00B335CC"/>
    <w:rsid w:val="00B36F87"/>
    <w:rsid w:val="00B442E5"/>
    <w:rsid w:val="00B509DF"/>
    <w:rsid w:val="00B54830"/>
    <w:rsid w:val="00B625D6"/>
    <w:rsid w:val="00B70D51"/>
    <w:rsid w:val="00B74838"/>
    <w:rsid w:val="00B866AF"/>
    <w:rsid w:val="00B87D9A"/>
    <w:rsid w:val="00B9605B"/>
    <w:rsid w:val="00BA4486"/>
    <w:rsid w:val="00BA726F"/>
    <w:rsid w:val="00BB0501"/>
    <w:rsid w:val="00BD0007"/>
    <w:rsid w:val="00BD3748"/>
    <w:rsid w:val="00BD3F4C"/>
    <w:rsid w:val="00BD4091"/>
    <w:rsid w:val="00BD67DF"/>
    <w:rsid w:val="00BD6C56"/>
    <w:rsid w:val="00BE0A57"/>
    <w:rsid w:val="00BE7B98"/>
    <w:rsid w:val="00BF67D6"/>
    <w:rsid w:val="00BF6DF6"/>
    <w:rsid w:val="00C06634"/>
    <w:rsid w:val="00C06F8B"/>
    <w:rsid w:val="00C12481"/>
    <w:rsid w:val="00C1266D"/>
    <w:rsid w:val="00C2365D"/>
    <w:rsid w:val="00C25B14"/>
    <w:rsid w:val="00C26F6B"/>
    <w:rsid w:val="00C2711B"/>
    <w:rsid w:val="00C27287"/>
    <w:rsid w:val="00C47C70"/>
    <w:rsid w:val="00C573F1"/>
    <w:rsid w:val="00C61B57"/>
    <w:rsid w:val="00C61F61"/>
    <w:rsid w:val="00C73EB6"/>
    <w:rsid w:val="00C74ED5"/>
    <w:rsid w:val="00C90610"/>
    <w:rsid w:val="00C94FF9"/>
    <w:rsid w:val="00C9782D"/>
    <w:rsid w:val="00CA0C1A"/>
    <w:rsid w:val="00CA5201"/>
    <w:rsid w:val="00CA6ABA"/>
    <w:rsid w:val="00CA7B66"/>
    <w:rsid w:val="00CB02C9"/>
    <w:rsid w:val="00CB5C96"/>
    <w:rsid w:val="00CB66A6"/>
    <w:rsid w:val="00CC7986"/>
    <w:rsid w:val="00CD6EA5"/>
    <w:rsid w:val="00CE7FCA"/>
    <w:rsid w:val="00CF0B6C"/>
    <w:rsid w:val="00D06032"/>
    <w:rsid w:val="00D0778A"/>
    <w:rsid w:val="00D13D87"/>
    <w:rsid w:val="00D20243"/>
    <w:rsid w:val="00D31B42"/>
    <w:rsid w:val="00D32203"/>
    <w:rsid w:val="00D37A3C"/>
    <w:rsid w:val="00D42AB3"/>
    <w:rsid w:val="00D444AF"/>
    <w:rsid w:val="00D56C2B"/>
    <w:rsid w:val="00D67409"/>
    <w:rsid w:val="00D676C1"/>
    <w:rsid w:val="00D734DD"/>
    <w:rsid w:val="00D7610B"/>
    <w:rsid w:val="00D8171C"/>
    <w:rsid w:val="00D922C6"/>
    <w:rsid w:val="00D95428"/>
    <w:rsid w:val="00D95B11"/>
    <w:rsid w:val="00DA00D8"/>
    <w:rsid w:val="00DA2C28"/>
    <w:rsid w:val="00DA5E58"/>
    <w:rsid w:val="00DB03AD"/>
    <w:rsid w:val="00DB1AC1"/>
    <w:rsid w:val="00DB2C6D"/>
    <w:rsid w:val="00DC26A3"/>
    <w:rsid w:val="00DC5143"/>
    <w:rsid w:val="00DD4A9F"/>
    <w:rsid w:val="00DF07FB"/>
    <w:rsid w:val="00DF7108"/>
    <w:rsid w:val="00E013D9"/>
    <w:rsid w:val="00E04E87"/>
    <w:rsid w:val="00E1193D"/>
    <w:rsid w:val="00E35F41"/>
    <w:rsid w:val="00E40040"/>
    <w:rsid w:val="00E457FB"/>
    <w:rsid w:val="00E52268"/>
    <w:rsid w:val="00E57182"/>
    <w:rsid w:val="00E61477"/>
    <w:rsid w:val="00E71EEC"/>
    <w:rsid w:val="00E83250"/>
    <w:rsid w:val="00E87067"/>
    <w:rsid w:val="00E93587"/>
    <w:rsid w:val="00EA1B0E"/>
    <w:rsid w:val="00EA34D2"/>
    <w:rsid w:val="00EA57F6"/>
    <w:rsid w:val="00EA7CAF"/>
    <w:rsid w:val="00EA7ECF"/>
    <w:rsid w:val="00EB6057"/>
    <w:rsid w:val="00EB613B"/>
    <w:rsid w:val="00EB629D"/>
    <w:rsid w:val="00ED2E2B"/>
    <w:rsid w:val="00ED48DD"/>
    <w:rsid w:val="00ED5EDD"/>
    <w:rsid w:val="00EE156C"/>
    <w:rsid w:val="00EF765C"/>
    <w:rsid w:val="00F04F37"/>
    <w:rsid w:val="00F05BE4"/>
    <w:rsid w:val="00F07EC7"/>
    <w:rsid w:val="00F11CD4"/>
    <w:rsid w:val="00F153AB"/>
    <w:rsid w:val="00F254AE"/>
    <w:rsid w:val="00F26B22"/>
    <w:rsid w:val="00F3445E"/>
    <w:rsid w:val="00F37A07"/>
    <w:rsid w:val="00F41E7E"/>
    <w:rsid w:val="00F4201F"/>
    <w:rsid w:val="00F43AB4"/>
    <w:rsid w:val="00F455D5"/>
    <w:rsid w:val="00F457BB"/>
    <w:rsid w:val="00F624D5"/>
    <w:rsid w:val="00F72F98"/>
    <w:rsid w:val="00F8358C"/>
    <w:rsid w:val="00F843AF"/>
    <w:rsid w:val="00F90003"/>
    <w:rsid w:val="00F92EBA"/>
    <w:rsid w:val="00F95FF4"/>
    <w:rsid w:val="00FA42C1"/>
    <w:rsid w:val="00FA6686"/>
    <w:rsid w:val="00FA7D19"/>
    <w:rsid w:val="00FB1773"/>
    <w:rsid w:val="00FB54A3"/>
    <w:rsid w:val="00FB58FB"/>
    <w:rsid w:val="00FD32BD"/>
    <w:rsid w:val="00FF3165"/>
    <w:rsid w:val="00FF76F3"/>
    <w:rsid w:val="02997A2D"/>
    <w:rsid w:val="12B24021"/>
    <w:rsid w:val="25F313D4"/>
    <w:rsid w:val="274C7F7E"/>
    <w:rsid w:val="3D0C3839"/>
    <w:rsid w:val="77763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560C84-EDBF-4607-84AE-E363962B1D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ylmfeng.com</Company>
  <Pages>6</Pages>
  <Words>488</Words>
  <Characters>2787</Characters>
  <Lines>23</Lines>
  <Paragraphs>6</Paragraphs>
  <TotalTime>16</TotalTime>
  <ScaleCrop>false</ScaleCrop>
  <LinksUpToDate>false</LinksUpToDate>
  <CharactersWithSpaces>3269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2019-06-04T08:04:00Z</dcterms:created>
  <dc:creator>Administrator</dc:creator>
  <cp:lastModifiedBy>罗竝</cp:lastModifiedBy>
  <dcterms:modified xsi:type="dcterms:W3CDTF">2019-06-05T13:39:08Z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